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6C872">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ANEXO II</w:t>
      </w:r>
    </w:p>
    <w:p w14:paraId="6A1F6F55">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FUNDAÇÃO UNIVERSIDADE FEDERAL DE PELOTAS</w:t>
      </w:r>
    </w:p>
    <w:p w14:paraId="7D840E5B">
      <w:pPr>
        <w:spacing w:after="0" w:line="276" w:lineRule="auto"/>
        <w:jc w:val="center"/>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MINUTA DA ATA DE REGISTRO DE PREÇO</w:t>
      </w:r>
    </w:p>
    <w:p w14:paraId="0120C161">
      <w:pPr>
        <w:spacing w:after="0" w:line="276" w:lineRule="auto"/>
        <w:jc w:val="center"/>
        <w:rPr>
          <w:rFonts w:ascii="Times New Roman" w:hAnsi="Times New Roman" w:eastAsia="Times New Roman" w:cs="Times New Roman"/>
          <w:b/>
          <w:bCs/>
          <w:caps/>
          <w:color w:val="FF0000"/>
          <w:sz w:val="24"/>
          <w:szCs w:val="24"/>
          <w:lang w:eastAsia="pt-BR"/>
        </w:rPr>
      </w:pPr>
      <w:r>
        <w:rPr>
          <w:rFonts w:ascii="Times New Roman" w:hAnsi="Times New Roman" w:eastAsia="Times New Roman" w:cs="Times New Roman"/>
          <w:b/>
          <w:bCs/>
          <w:caps/>
          <w:color w:val="000000"/>
          <w:sz w:val="24"/>
          <w:szCs w:val="24"/>
          <w:lang w:eastAsia="pt-BR"/>
        </w:rPr>
        <w:t xml:space="preserve">PREGÃO ELETRÔNICO Nº. </w:t>
      </w:r>
      <w:r>
        <w:rPr>
          <w:rFonts w:hint="default" w:ascii="Times New Roman" w:hAnsi="Times New Roman" w:eastAsia="Times New Roman" w:cs="Times New Roman"/>
          <w:b/>
          <w:bCs/>
          <w:caps/>
          <w:color w:val="000000"/>
          <w:sz w:val="24"/>
          <w:szCs w:val="24"/>
          <w:lang w:val="en-US" w:eastAsia="pt-BR"/>
        </w:rPr>
        <w:t>90008</w:t>
      </w:r>
      <w:r>
        <w:rPr>
          <w:rFonts w:ascii="Times New Roman" w:hAnsi="Times New Roman" w:eastAsia="Times New Roman" w:cs="Times New Roman"/>
          <w:b/>
          <w:bCs/>
          <w:caps/>
          <w:color w:val="FF0000"/>
          <w:sz w:val="24"/>
          <w:szCs w:val="24"/>
          <w:lang w:eastAsia="pt-BR"/>
        </w:rPr>
        <w:t>/2025</w:t>
      </w:r>
    </w:p>
    <w:p w14:paraId="53625764">
      <w:pPr>
        <w:spacing w:after="0" w:line="276" w:lineRule="auto"/>
        <w:jc w:val="center"/>
        <w:rPr>
          <w:rFonts w:ascii="Times New Roman" w:hAnsi="Times New Roman" w:eastAsia="Times New Roman" w:cs="Times New Roman"/>
          <w:b/>
          <w:bCs/>
          <w:caps/>
          <w:color w:val="FF0000"/>
          <w:sz w:val="24"/>
          <w:szCs w:val="24"/>
          <w:lang w:eastAsia="pt-BR"/>
        </w:rPr>
      </w:pPr>
      <w:r>
        <w:rPr>
          <w:rFonts w:ascii="Times New Roman" w:hAnsi="Times New Roman" w:eastAsia="Times New Roman" w:cs="Times New Roman"/>
          <w:b/>
          <w:bCs/>
          <w:caps/>
          <w:sz w:val="24"/>
          <w:szCs w:val="24"/>
          <w:lang w:eastAsia="pt-BR"/>
        </w:rPr>
        <w:t>PROCESSO Nº </w:t>
      </w:r>
      <w:r>
        <w:rPr>
          <w:rFonts w:hint="default" w:ascii="Times New Roman" w:hAnsi="Times New Roman" w:eastAsia="Times New Roman"/>
          <w:b/>
          <w:bCs/>
          <w:caps/>
          <w:color w:val="FF0000"/>
          <w:sz w:val="24"/>
          <w:szCs w:val="24"/>
          <w:lang w:eastAsia="pt-BR"/>
        </w:rPr>
        <w:t>23110.034345/2024-09</w:t>
      </w:r>
    </w:p>
    <w:p w14:paraId="28D2E0FA">
      <w:pPr>
        <w:keepNext w:val="0"/>
        <w:keepLines w:val="0"/>
        <w:widowControl/>
        <w:suppressLineNumbers w:val="0"/>
        <w:jc w:val="left"/>
      </w:pPr>
      <w:r>
        <w:rPr>
          <w:rFonts w:ascii="Times New Roman" w:hAnsi="Times New Roman" w:eastAsia="Times New Roman" w:cs="Times New Roman"/>
          <w:b/>
          <w:bCs/>
          <w:caps/>
          <w:color w:val="000000"/>
          <w:sz w:val="24"/>
          <w:szCs w:val="24"/>
          <w:lang w:eastAsia="pt-BR"/>
        </w:rPr>
        <w:t> </w:t>
      </w:r>
    </w:p>
    <w:p w14:paraId="6E2E52A2">
      <w:pPr>
        <w:spacing w:before="100" w:beforeAutospacing="1" w:after="100" w:afterAutospacing="1" w:line="276" w:lineRule="auto"/>
        <w:jc w:val="center"/>
        <w:rPr>
          <w:rFonts w:ascii="Times New Roman" w:hAnsi="Times New Roman" w:eastAsia="Times New Roman" w:cs="Times New Roman"/>
          <w:b/>
          <w:bCs/>
          <w:caps/>
          <w:color w:val="000000"/>
          <w:sz w:val="24"/>
          <w:szCs w:val="24"/>
          <w:lang w:eastAsia="pt-BR"/>
        </w:rPr>
      </w:pPr>
    </w:p>
    <w:p w14:paraId="785B868F">
      <w:pPr>
        <w:spacing w:before="120" w:after="120" w:line="276" w:lineRule="auto"/>
        <w:ind w:right="142" w:firstLine="70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xml:space="preserve">A Fundação Universidade Federal de Pelotas, situada na Rua Gomes Carneiro nº 01, Pelotas / RS, inscrita no CNPJ sob o nº 92.242.080/0001-00, representada pela Reitora Ursula Rosa da Silva, nomeada pelo Decreto de 20 de dezembro de 2024, publicado em 23/12/2024 no D.O.U., seção 02, considerando o julgamento da licitação na modalidade de pregão, na forma eletrônica, para REGISTRO DE PREÇOS nº </w:t>
      </w:r>
      <w:r>
        <w:rPr>
          <w:rFonts w:hint="default" w:ascii="Times New Roman" w:hAnsi="Times New Roman" w:eastAsia="Times New Roman" w:cs="Times New Roman"/>
          <w:color w:val="000000"/>
          <w:sz w:val="24"/>
          <w:szCs w:val="24"/>
          <w:lang w:val="en-US" w:eastAsia="pt-BR"/>
        </w:rPr>
        <w:t>90008</w:t>
      </w:r>
      <w:r>
        <w:rPr>
          <w:rFonts w:ascii="Times New Roman" w:hAnsi="Times New Roman" w:eastAsia="Times New Roman" w:cs="Times New Roman"/>
          <w:color w:val="FF0000"/>
          <w:sz w:val="24"/>
          <w:szCs w:val="24"/>
          <w:lang w:eastAsia="pt-BR"/>
        </w:rPr>
        <w:t>/2025</w:t>
      </w:r>
      <w:r>
        <w:rPr>
          <w:rFonts w:ascii="Times New Roman" w:hAnsi="Times New Roman" w:eastAsia="Times New Roman" w:cs="Times New Roman"/>
          <w:color w:val="000000"/>
          <w:sz w:val="24"/>
          <w:szCs w:val="24"/>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 e Decreto nº 11.462/2023, e em conformidade com as disposições a seguir:</w:t>
      </w:r>
    </w:p>
    <w:p w14:paraId="3F754CEF">
      <w:pPr>
        <w:spacing w:before="120" w:after="120" w:line="276" w:lineRule="auto"/>
        <w:ind w:lef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6E3C332E">
      <w:pPr>
        <w:pStyle w:val="16"/>
        <w:numPr>
          <w:ilvl w:val="0"/>
          <w:numId w:val="1"/>
        </w:num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DO OBJETO</w:t>
      </w:r>
    </w:p>
    <w:p w14:paraId="7F9DD325">
      <w:pPr>
        <w:spacing w:before="120" w:after="120" w:line="276" w:lineRule="auto"/>
        <w:ind w:right="142"/>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 A presente Ata tem por objeto o registro de preços para a eventual </w:t>
      </w:r>
      <w:r>
        <w:rPr>
          <w:rFonts w:hint="default" w:ascii="Times New Roman" w:hAnsi="Times New Roman" w:eastAsia="Times New Roman"/>
          <w:color w:val="FF0000"/>
          <w:sz w:val="24"/>
          <w:szCs w:val="24"/>
          <w:lang w:eastAsia="pt-BR"/>
        </w:rPr>
        <w:t>Aquisição de esquadrias em alumínio</w:t>
      </w:r>
      <w:r>
        <w:rPr>
          <w:rFonts w:ascii="Times New Roman" w:hAnsi="Times New Roman" w:eastAsia="Times New Roman" w:cs="Times New Roman"/>
          <w:color w:val="000000"/>
          <w:sz w:val="24"/>
          <w:szCs w:val="24"/>
          <w:lang w:eastAsia="pt-BR"/>
        </w:rPr>
        <w:t>, especificado no Termo de Referência, anexo I do edital de Pregão </w:t>
      </w:r>
      <w:r>
        <w:rPr>
          <w:rFonts w:ascii="Times New Roman" w:hAnsi="Times New Roman" w:eastAsia="Times New Roman" w:cs="Times New Roman"/>
          <w:color w:val="FF0000"/>
          <w:sz w:val="24"/>
          <w:szCs w:val="24"/>
          <w:lang w:eastAsia="pt-BR"/>
        </w:rPr>
        <w:t>nº </w:t>
      </w:r>
      <w:r>
        <w:rPr>
          <w:rFonts w:hint="default" w:ascii="Times New Roman" w:hAnsi="Times New Roman" w:eastAsia="Times New Roman" w:cs="Times New Roman"/>
          <w:color w:val="FF0000"/>
          <w:sz w:val="24"/>
          <w:szCs w:val="24"/>
          <w:lang w:val="en-US" w:eastAsia="pt-BR"/>
        </w:rPr>
        <w:t>90008</w:t>
      </w:r>
      <w:r>
        <w:rPr>
          <w:rFonts w:ascii="Times New Roman" w:hAnsi="Times New Roman" w:eastAsia="Times New Roman" w:cs="Times New Roman"/>
          <w:color w:val="FF0000"/>
          <w:sz w:val="24"/>
          <w:szCs w:val="24"/>
          <w:lang w:eastAsia="pt-BR"/>
        </w:rPr>
        <w:t>/2025</w:t>
      </w:r>
      <w:r>
        <w:rPr>
          <w:rFonts w:ascii="Times New Roman" w:hAnsi="Times New Roman" w:eastAsia="Times New Roman" w:cs="Times New Roman"/>
          <w:color w:val="000000"/>
          <w:sz w:val="24"/>
          <w:szCs w:val="24"/>
          <w:lang w:eastAsia="pt-BR"/>
        </w:rPr>
        <w:t>, que é parte integrante desta Ata, assim como a proposta vencedora, independentemente de transcrição.</w:t>
      </w:r>
    </w:p>
    <w:p w14:paraId="2CCC92D1">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13877D0F">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2. DOS PREÇOS, ESPECIFICAÇÕES E QUANTITATIVOS</w:t>
      </w:r>
    </w:p>
    <w:p w14:paraId="6140E2CB">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2.1. O preço registrado, as especificações do objeto, a quantidade, fornecedor(es) e as demais condições ofertadas na(s) proposta(s) são as que seguem:</w:t>
      </w:r>
    </w:p>
    <w:p w14:paraId="2F56D602">
      <w:pPr>
        <w:spacing w:before="120" w:after="120" w:line="276" w:lineRule="auto"/>
        <w:ind w:right="120"/>
        <w:jc w:val="both"/>
        <w:rPr>
          <w:rFonts w:ascii="Times New Roman" w:hAnsi="Times New Roman" w:eastAsia="Times New Roman" w:cs="Times New Roman"/>
          <w:color w:val="000000"/>
          <w:sz w:val="24"/>
          <w:szCs w:val="24"/>
          <w:lang w:eastAsia="pt-BR"/>
        </w:rPr>
      </w:pPr>
    </w:p>
    <w:tbl>
      <w:tblPr>
        <w:tblStyle w:val="3"/>
        <w:tblW w:w="8505" w:type="dxa"/>
        <w:tblCellSpacing w:w="0" w:type="dxa"/>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40"/>
        <w:gridCol w:w="2827"/>
        <w:gridCol w:w="1436"/>
        <w:gridCol w:w="1250"/>
        <w:gridCol w:w="944"/>
        <w:gridCol w:w="1208"/>
      </w:tblGrid>
      <w:tr w14:paraId="41AF084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56" w:hRule="atLeast"/>
          <w:tblCellSpacing w:w="0" w:type="dxa"/>
        </w:trPr>
        <w:tc>
          <w:tcPr>
            <w:tcW w:w="8505" w:type="dxa"/>
            <w:gridSpan w:val="6"/>
            <w:tcBorders>
              <w:top w:val="outset" w:color="auto" w:sz="6" w:space="0"/>
              <w:left w:val="outset" w:color="auto" w:sz="6" w:space="0"/>
              <w:bottom w:val="outset" w:color="auto" w:sz="6" w:space="0"/>
              <w:right w:val="outset" w:color="auto" w:sz="6" w:space="0"/>
            </w:tcBorders>
            <w:vAlign w:val="center"/>
          </w:tcPr>
          <w:p w14:paraId="1E34A130">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p w14:paraId="07A16463">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Fornecedor (razão social, CNPJ/MF, endereço, contatos, representante)</w:t>
            </w:r>
          </w:p>
          <w:p w14:paraId="121D1F69">
            <w:pPr>
              <w:autoSpaceDE w:val="0"/>
              <w:autoSpaceDN w:val="0"/>
              <w:adjustRightInd w:val="0"/>
              <w:spacing w:after="0" w:line="276" w:lineRule="auto"/>
              <w:rPr>
                <w:rFonts w:ascii="Times New Roman" w:hAnsi="Times New Roman" w:eastAsia="Times New Roman" w:cs="Times New Roman"/>
                <w:color w:val="000000"/>
                <w:sz w:val="24"/>
                <w:szCs w:val="24"/>
                <w:lang w:eastAsia="pt-BR"/>
              </w:rPr>
            </w:pPr>
          </w:p>
        </w:tc>
      </w:tr>
      <w:tr w14:paraId="42402508">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1234"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275F7B85">
            <w:pPr>
              <w:spacing w:before="100" w:beforeAutospacing="1" w:after="100" w:afterAutospacing="1" w:line="276" w:lineRule="auto"/>
              <w:rPr>
                <w:rFonts w:ascii="Times New Roman" w:hAnsi="Times New Roman" w:eastAsia="Times New Roman" w:cs="Times New Roman"/>
                <w:color w:val="000000"/>
                <w:sz w:val="24"/>
                <w:szCs w:val="24"/>
                <w:lang w:eastAsia="pt-BR"/>
              </w:rPr>
            </w:pPr>
            <w:bookmarkStart w:id="9" w:name="_GoBack" w:colFirst="0" w:colLast="5"/>
            <w:r>
              <w:rPr>
                <w:rFonts w:ascii="Times New Roman" w:hAnsi="Times New Roman" w:eastAsia="Times New Roman" w:cs="Times New Roman"/>
                <w:color w:val="000000"/>
                <w:sz w:val="24"/>
                <w:szCs w:val="24"/>
                <w:lang w:eastAsia="pt-BR"/>
              </w:rPr>
              <w:t>Item do edital </w:t>
            </w:r>
          </w:p>
        </w:tc>
        <w:tc>
          <w:tcPr>
            <w:tcW w:w="2827" w:type="dxa"/>
            <w:tcBorders>
              <w:top w:val="outset" w:color="auto" w:sz="6" w:space="0"/>
              <w:left w:val="outset" w:color="auto" w:sz="6" w:space="0"/>
              <w:bottom w:val="outset" w:color="auto" w:sz="6" w:space="0"/>
              <w:right w:val="outset" w:color="auto" w:sz="6" w:space="0"/>
            </w:tcBorders>
            <w:vAlign w:val="center"/>
          </w:tcPr>
          <w:p w14:paraId="07406095">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Especificação</w:t>
            </w:r>
          </w:p>
        </w:tc>
        <w:tc>
          <w:tcPr>
            <w:tcW w:w="1436" w:type="dxa"/>
            <w:tcBorders>
              <w:top w:val="outset" w:color="auto" w:sz="6" w:space="0"/>
              <w:left w:val="outset" w:color="auto" w:sz="6" w:space="0"/>
              <w:bottom w:val="outset" w:color="auto" w:sz="6" w:space="0"/>
              <w:right w:val="outset" w:color="auto" w:sz="6" w:space="0"/>
            </w:tcBorders>
            <w:vAlign w:val="center"/>
          </w:tcPr>
          <w:p w14:paraId="76232E01">
            <w:pPr>
              <w:spacing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Marca e Modelo</w:t>
            </w:r>
          </w:p>
        </w:tc>
        <w:tc>
          <w:tcPr>
            <w:tcW w:w="1250" w:type="dxa"/>
            <w:tcBorders>
              <w:top w:val="outset" w:color="auto" w:sz="6" w:space="0"/>
              <w:left w:val="outset" w:color="auto" w:sz="6" w:space="0"/>
              <w:bottom w:val="outset" w:color="auto" w:sz="6" w:space="0"/>
              <w:right w:val="outset" w:color="auto" w:sz="6" w:space="0"/>
            </w:tcBorders>
            <w:vAlign w:val="center"/>
          </w:tcPr>
          <w:p w14:paraId="225E9CB2">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Unidade de medida</w:t>
            </w:r>
          </w:p>
        </w:tc>
        <w:tc>
          <w:tcPr>
            <w:tcW w:w="944" w:type="dxa"/>
            <w:tcBorders>
              <w:top w:val="outset" w:color="auto" w:sz="6" w:space="0"/>
              <w:left w:val="outset" w:color="auto" w:sz="6" w:space="0"/>
              <w:bottom w:val="outset" w:color="auto" w:sz="6" w:space="0"/>
              <w:right w:val="outset" w:color="auto" w:sz="6" w:space="0"/>
            </w:tcBorders>
            <w:vAlign w:val="center"/>
          </w:tcPr>
          <w:p w14:paraId="1AACDEEC">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Quantidade</w:t>
            </w:r>
          </w:p>
        </w:tc>
        <w:tc>
          <w:tcPr>
            <w:tcW w:w="1208" w:type="dxa"/>
            <w:tcBorders>
              <w:top w:val="outset" w:color="auto" w:sz="6" w:space="0"/>
              <w:left w:val="outset" w:color="auto" w:sz="6" w:space="0"/>
              <w:bottom w:val="outset" w:color="auto" w:sz="6" w:space="0"/>
              <w:right w:val="outset" w:color="auto" w:sz="6" w:space="0"/>
            </w:tcBorders>
            <w:vAlign w:val="center"/>
          </w:tcPr>
          <w:p w14:paraId="4064ABBB">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Valor Unitário</w:t>
            </w:r>
          </w:p>
        </w:tc>
      </w:tr>
      <w:bookmarkEnd w:id="9"/>
      <w:tr w14:paraId="1801B1D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657FBEE6">
            <w:pPr>
              <w:spacing w:before="100" w:beforeAutospacing="1" w:after="100" w:afterAutospacing="1" w:line="276" w:lineRule="auto"/>
              <w:jc w:val="center"/>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13</w:t>
            </w:r>
          </w:p>
        </w:tc>
        <w:tc>
          <w:tcPr>
            <w:tcW w:w="2827" w:type="dxa"/>
            <w:tcBorders>
              <w:top w:val="outset" w:color="auto" w:sz="6" w:space="0"/>
              <w:left w:val="outset" w:color="auto" w:sz="6" w:space="0"/>
              <w:bottom w:val="outset" w:color="auto" w:sz="6" w:space="0"/>
              <w:right w:val="outset" w:color="auto" w:sz="6" w:space="0"/>
            </w:tcBorders>
            <w:vAlign w:val="center"/>
          </w:tcPr>
          <w:p w14:paraId="095CDB06">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val="en-US" w:eastAsia="zh-CN"/>
              </w:rPr>
              <w:t xml:space="preserve">Janela maxim ar com fixo inferior 2 folhas, alumínio de </w:t>
            </w:r>
          </w:p>
          <w:p w14:paraId="08BCE82D">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hint="default" w:ascii="Times New Roman" w:hAnsi="Times New Roman" w:eastAsia="Times New Roman" w:cs="Times New Roman"/>
                <w:color w:val="000000"/>
                <w:sz w:val="24"/>
                <w:szCs w:val="24"/>
                <w:lang w:val="en-US" w:eastAsia="zh-CN"/>
              </w:rPr>
              <w:t xml:space="preserve">cor natural ou branco, vidro liso de 4,0 mm, perfil </w:t>
            </w:r>
          </w:p>
          <w:p w14:paraId="19422086">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hint="default" w:ascii="Times New Roman" w:hAnsi="Times New Roman" w:eastAsia="Times New Roman" w:cs="Times New Roman"/>
                <w:color w:val="000000"/>
                <w:sz w:val="24"/>
                <w:szCs w:val="24"/>
                <w:lang w:val="en-US" w:eastAsia="zh-CN"/>
              </w:rPr>
              <w:t xml:space="preserve">mega, tamanho 1,60 x 1,60 m, com gradil em </w:t>
            </w:r>
          </w:p>
          <w:p w14:paraId="6EFDBD0E">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hint="default" w:ascii="Times New Roman" w:hAnsi="Times New Roman" w:eastAsia="Times New Roman" w:cs="Times New Roman"/>
                <w:color w:val="000000"/>
                <w:sz w:val="24"/>
                <w:szCs w:val="24"/>
                <w:lang w:val="en-US" w:eastAsia="zh-CN"/>
              </w:rPr>
              <w:t>alumínio</w:t>
            </w:r>
          </w:p>
          <w:p w14:paraId="66C30D66">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62B93B85">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val="en-US" w:eastAsia="zh-CN"/>
              </w:rPr>
              <w:t>Própria</w:t>
            </w:r>
          </w:p>
          <w:p w14:paraId="34A57B15">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4E637A2A">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val="en-US" w:eastAsia="zh-CN"/>
              </w:rPr>
              <w:t>CADA</w:t>
            </w:r>
          </w:p>
          <w:p w14:paraId="00F2720A">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3B3233AD">
            <w:pPr>
              <w:spacing w:before="100" w:beforeAutospacing="1" w:after="100" w:afterAutospacing="1" w:line="276" w:lineRule="auto"/>
              <w:jc w:val="center"/>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20</w:t>
            </w:r>
          </w:p>
        </w:tc>
        <w:tc>
          <w:tcPr>
            <w:tcW w:w="1208" w:type="dxa"/>
            <w:tcBorders>
              <w:top w:val="outset" w:color="auto" w:sz="6" w:space="0"/>
              <w:left w:val="outset" w:color="auto" w:sz="6" w:space="0"/>
              <w:bottom w:val="outset" w:color="auto" w:sz="6" w:space="0"/>
              <w:right w:val="outset" w:color="auto" w:sz="6" w:space="0"/>
            </w:tcBorders>
            <w:vAlign w:val="center"/>
          </w:tcPr>
          <w:p w14:paraId="01866FC6">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val="en-US" w:eastAsia="zh-CN"/>
              </w:rPr>
              <w:t>1.891,00</w:t>
            </w:r>
          </w:p>
          <w:p w14:paraId="7A215D9A">
            <w:pPr>
              <w:spacing w:before="100" w:beforeAutospacing="1" w:after="100" w:afterAutospacing="1" w:line="276" w:lineRule="auto"/>
              <w:jc w:val="center"/>
              <w:rPr>
                <w:rFonts w:ascii="Times New Roman" w:hAnsi="Times New Roman" w:eastAsia="Times New Roman" w:cs="Times New Roman"/>
                <w:color w:val="000000"/>
                <w:sz w:val="24"/>
                <w:szCs w:val="24"/>
                <w:lang w:eastAsia="pt-BR"/>
              </w:rPr>
            </w:pPr>
          </w:p>
        </w:tc>
      </w:tr>
      <w:tr w14:paraId="5CB414E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7FA48420">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14</w:t>
            </w:r>
          </w:p>
        </w:tc>
        <w:tc>
          <w:tcPr>
            <w:tcW w:w="2827" w:type="dxa"/>
            <w:tcBorders>
              <w:top w:val="outset" w:color="auto" w:sz="6" w:space="0"/>
              <w:left w:val="outset" w:color="auto" w:sz="6" w:space="0"/>
              <w:bottom w:val="outset" w:color="auto" w:sz="6" w:space="0"/>
              <w:right w:val="outset" w:color="auto" w:sz="6" w:space="0"/>
            </w:tcBorders>
            <w:vAlign w:val="center"/>
          </w:tcPr>
          <w:p w14:paraId="71134E9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5031BEDF">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5F0A05F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1B038AA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17CB79E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18BA3D2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1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3F338CBC">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15</w:t>
            </w:r>
          </w:p>
        </w:tc>
        <w:tc>
          <w:tcPr>
            <w:tcW w:w="2827" w:type="dxa"/>
            <w:tcBorders>
              <w:top w:val="outset" w:color="auto" w:sz="6" w:space="0"/>
              <w:left w:val="outset" w:color="auto" w:sz="6" w:space="0"/>
              <w:bottom w:val="outset" w:color="auto" w:sz="6" w:space="0"/>
              <w:right w:val="outset" w:color="auto" w:sz="6" w:space="0"/>
            </w:tcBorders>
            <w:vAlign w:val="center"/>
          </w:tcPr>
          <w:p w14:paraId="320978DE">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133CE2A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19323B08">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4212340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4F36156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7B5A29F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3B63BDC4">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17</w:t>
            </w:r>
          </w:p>
        </w:tc>
        <w:tc>
          <w:tcPr>
            <w:tcW w:w="2827" w:type="dxa"/>
            <w:tcBorders>
              <w:top w:val="outset" w:color="auto" w:sz="6" w:space="0"/>
              <w:left w:val="outset" w:color="auto" w:sz="6" w:space="0"/>
              <w:bottom w:val="outset" w:color="auto" w:sz="6" w:space="0"/>
              <w:right w:val="outset" w:color="auto" w:sz="6" w:space="0"/>
            </w:tcBorders>
            <w:vAlign w:val="center"/>
          </w:tcPr>
          <w:p w14:paraId="07F9E7C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434FE8C6">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6DC71616">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37D99914">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4179BEB2">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r w14:paraId="0E3B2D82">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398" w:hRule="atLeast"/>
          <w:tblCellSpacing w:w="0" w:type="dxa"/>
        </w:trPr>
        <w:tc>
          <w:tcPr>
            <w:tcW w:w="840" w:type="dxa"/>
            <w:tcBorders>
              <w:top w:val="outset" w:color="auto" w:sz="6" w:space="0"/>
              <w:left w:val="outset" w:color="auto" w:sz="6" w:space="0"/>
              <w:bottom w:val="outset" w:color="auto" w:sz="6" w:space="0"/>
              <w:right w:val="outset" w:color="auto" w:sz="6" w:space="0"/>
            </w:tcBorders>
            <w:vAlign w:val="center"/>
          </w:tcPr>
          <w:p w14:paraId="4DE9E4C2">
            <w:pPr>
              <w:spacing w:before="100" w:beforeAutospacing="1" w:after="100" w:afterAutospacing="1" w:line="276" w:lineRule="auto"/>
              <w:rPr>
                <w:rFonts w:hint="default" w:ascii="Times New Roman" w:hAnsi="Times New Roman" w:eastAsia="Times New Roman" w:cs="Times New Roman"/>
                <w:color w:val="000000"/>
                <w:sz w:val="24"/>
                <w:szCs w:val="24"/>
                <w:lang w:val="en-US" w:eastAsia="pt-BR"/>
              </w:rPr>
            </w:pPr>
            <w:r>
              <w:rPr>
                <w:rFonts w:hint="default" w:ascii="Times New Roman" w:hAnsi="Times New Roman" w:eastAsia="Times New Roman" w:cs="Times New Roman"/>
                <w:color w:val="000000"/>
                <w:sz w:val="24"/>
                <w:szCs w:val="24"/>
                <w:lang w:val="en-US" w:eastAsia="pt-BR"/>
              </w:rPr>
              <w:t>19</w:t>
            </w:r>
          </w:p>
        </w:tc>
        <w:tc>
          <w:tcPr>
            <w:tcW w:w="2827" w:type="dxa"/>
            <w:tcBorders>
              <w:top w:val="outset" w:color="auto" w:sz="6" w:space="0"/>
              <w:left w:val="outset" w:color="auto" w:sz="6" w:space="0"/>
              <w:bottom w:val="outset" w:color="auto" w:sz="6" w:space="0"/>
              <w:right w:val="outset" w:color="auto" w:sz="6" w:space="0"/>
            </w:tcBorders>
            <w:vAlign w:val="center"/>
          </w:tcPr>
          <w:p w14:paraId="13CE0BF7">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436" w:type="dxa"/>
            <w:tcBorders>
              <w:top w:val="outset" w:color="auto" w:sz="6" w:space="0"/>
              <w:left w:val="outset" w:color="auto" w:sz="6" w:space="0"/>
              <w:bottom w:val="outset" w:color="auto" w:sz="6" w:space="0"/>
              <w:right w:val="outset" w:color="auto" w:sz="6" w:space="0"/>
            </w:tcBorders>
            <w:vAlign w:val="center"/>
          </w:tcPr>
          <w:p w14:paraId="34AF202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50" w:type="dxa"/>
            <w:tcBorders>
              <w:top w:val="outset" w:color="auto" w:sz="6" w:space="0"/>
              <w:left w:val="outset" w:color="auto" w:sz="6" w:space="0"/>
              <w:bottom w:val="outset" w:color="auto" w:sz="6" w:space="0"/>
              <w:right w:val="outset" w:color="auto" w:sz="6" w:space="0"/>
            </w:tcBorders>
            <w:vAlign w:val="center"/>
          </w:tcPr>
          <w:p w14:paraId="69DC32BD">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944" w:type="dxa"/>
            <w:tcBorders>
              <w:top w:val="outset" w:color="auto" w:sz="6" w:space="0"/>
              <w:left w:val="outset" w:color="auto" w:sz="6" w:space="0"/>
              <w:bottom w:val="outset" w:color="auto" w:sz="6" w:space="0"/>
              <w:right w:val="outset" w:color="auto" w:sz="6" w:space="0"/>
            </w:tcBorders>
            <w:vAlign w:val="center"/>
          </w:tcPr>
          <w:p w14:paraId="5822B119">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c>
          <w:tcPr>
            <w:tcW w:w="1208" w:type="dxa"/>
            <w:tcBorders>
              <w:top w:val="outset" w:color="auto" w:sz="6" w:space="0"/>
              <w:left w:val="outset" w:color="auto" w:sz="6" w:space="0"/>
              <w:bottom w:val="outset" w:color="auto" w:sz="6" w:space="0"/>
              <w:right w:val="outset" w:color="auto" w:sz="6" w:space="0"/>
            </w:tcBorders>
            <w:vAlign w:val="center"/>
          </w:tcPr>
          <w:p w14:paraId="1D9E5FFA">
            <w:pPr>
              <w:spacing w:before="100" w:beforeAutospacing="1" w:after="100" w:afterAutospacing="1" w:line="276" w:lineRule="auto"/>
              <w:rPr>
                <w:rFonts w:ascii="Times New Roman" w:hAnsi="Times New Roman" w:eastAsia="Times New Roman" w:cs="Times New Roman"/>
                <w:color w:val="000000"/>
                <w:sz w:val="24"/>
                <w:szCs w:val="24"/>
                <w:lang w:eastAsia="pt-BR"/>
              </w:rPr>
            </w:pPr>
          </w:p>
        </w:tc>
      </w:tr>
    </w:tbl>
    <w:p w14:paraId="2D0917A6">
      <w:pPr>
        <w:shd w:val="clear" w:color="auto" w:fill="E6E6E6"/>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 DOS ÓRGÃOS PARTICIPANTES</w:t>
      </w:r>
    </w:p>
    <w:p w14:paraId="20050C8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3.1. O órgão gerenciador será a Fundação Universidade Federal de Pelotas.</w:t>
      </w:r>
    </w:p>
    <w:p w14:paraId="3E5923C1">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3.2. Além do gerenciador, não há órgãos e entidades públicas participantes do registro de preços:</w:t>
      </w:r>
    </w:p>
    <w:p w14:paraId="617C3935">
      <w:pPr>
        <w:spacing w:before="120" w:after="120" w:line="276" w:lineRule="auto"/>
        <w:ind w:left="120" w:right="120"/>
        <w:jc w:val="both"/>
        <w:rPr>
          <w:rFonts w:ascii="Times New Roman" w:hAnsi="Times New Roman" w:eastAsia="Times New Roman" w:cs="Times New Roman"/>
          <w:color w:val="000000"/>
          <w:sz w:val="24"/>
          <w:szCs w:val="24"/>
          <w:lang w:eastAsia="pt-BR"/>
        </w:rPr>
      </w:pPr>
    </w:p>
    <w:p w14:paraId="5729D768">
      <w:pPr>
        <w:shd w:val="clear" w:color="auto" w:fill="E6E6E6"/>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 DA ADESÃO À ATA DE REGISTRO DE PREÇOS </w:t>
      </w:r>
    </w:p>
    <w:p w14:paraId="6012EEA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1C82610A">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4.1.1. apresentação de justificativa da vantagem da adesão, inclusive em situações de provável desabastecimento ou descontinuidade de serviço público;</w:t>
      </w:r>
    </w:p>
    <w:p w14:paraId="3CB686F2">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4.1.2. demonstração de que os valores registrados estão compatíveis com os valores praticados pelo mercado na forma do art. 23 da Lei nº 14.133, de 2021; e</w:t>
      </w:r>
    </w:p>
    <w:p w14:paraId="67561DA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4.1.3.  consulta e aceitação prévias do órgão ou da entidade gerenciadora e do fornecedor.</w:t>
      </w:r>
    </w:p>
    <w:p w14:paraId="1925320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4.2. A autorização do órgão ou entidade gerenciadora apenas será realizada após a aceitação da adesão pelo fornecedor.</w:t>
      </w:r>
    </w:p>
    <w:p w14:paraId="3FE146A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4.2.1. O órgão ou entidade gerenciadora poderá rejeitar adesões caso elas possam acarretar prejuízo à execução de seus próprios contratos ou à sua capacidade de gerenciamento.</w:t>
      </w:r>
    </w:p>
    <w:p w14:paraId="6A73BBC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14:paraId="7E24B56B">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DFB811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14:paraId="04563644">
      <w:pPr>
        <w:spacing w:before="100" w:beforeAutospacing="1" w:after="100" w:afterAutospacing="1" w:line="276" w:lineRule="auto"/>
        <w:rPr>
          <w:rFonts w:ascii="Times New Roman" w:hAnsi="Times New Roman" w:eastAsia="Times New Roman" w:cs="Times New Roman"/>
          <w:color w:val="000000"/>
          <w:sz w:val="24"/>
          <w:szCs w:val="24"/>
          <w:lang w:eastAsia="pt-BR"/>
        </w:rPr>
      </w:pPr>
      <w:r>
        <w:rPr>
          <w:rFonts w:ascii="Times New Roman" w:hAnsi="Times New Roman" w:eastAsia="Times New Roman" w:cs="Times New Roman"/>
          <w:b/>
          <w:bCs/>
          <w:color w:val="000000"/>
          <w:sz w:val="24"/>
          <w:szCs w:val="24"/>
          <w:lang w:eastAsia="pt-BR"/>
        </w:rPr>
        <w:t>Dos limites para as adesões</w:t>
      </w:r>
    </w:p>
    <w:p w14:paraId="046147D6">
      <w:pPr>
        <w:spacing w:line="276" w:lineRule="auto"/>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14:paraId="675EE0D9">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976D3B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177C5FB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1C4F780D">
      <w:pPr>
        <w:spacing w:before="100" w:beforeAutospacing="1" w:after="100" w:afterAutospacing="1" w:line="276" w:lineRule="auto"/>
        <w:rPr>
          <w:rFonts w:ascii="Times New Roman" w:hAnsi="Times New Roman" w:eastAsia="Times New Roman" w:cs="Times New Roman"/>
          <w:color w:val="000000"/>
          <w:sz w:val="24"/>
          <w:szCs w:val="24"/>
          <w:lang w:eastAsia="pt-BR"/>
        </w:rPr>
      </w:pPr>
      <w:r>
        <w:rPr>
          <w:rFonts w:ascii="Times New Roman" w:hAnsi="Times New Roman" w:eastAsia="Times New Roman" w:cs="Times New Roman"/>
          <w:b/>
          <w:bCs/>
          <w:color w:val="000000"/>
          <w:sz w:val="24"/>
          <w:szCs w:val="24"/>
          <w:lang w:eastAsia="pt-BR"/>
        </w:rPr>
        <w:t>Vedação a acréscimo de quantitativos</w:t>
      </w:r>
    </w:p>
    <w:p w14:paraId="3EBC89DA">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4.10. É vedado efetuar acréscimos nos quantitativos fixados na ata de registro de preços.</w:t>
      </w:r>
    </w:p>
    <w:p w14:paraId="03DEE113">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2BE14D22">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5. VALIDADE DA ATA</w:t>
      </w:r>
    </w:p>
    <w:p w14:paraId="15CFEA9A">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9934F1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F3DE546">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 Na formalização do contrato ou do instrumento substituto deverá haver a indicação da disponibilidade dos créditos orçamentários respectivos.</w:t>
      </w:r>
    </w:p>
    <w:p w14:paraId="697B61B4">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50F070B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5.2.1. O instrumento contratual de que trata o item 5.2 deverá ser assinado no prazo de validade da ata de registro de preços.</w:t>
      </w:r>
    </w:p>
    <w:p w14:paraId="4E0DE79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5.3. Os contratos decorrentes do sistema de registro de preços poderão ser alterados, observado o art. 124 da Lei nº 14.133, de 2021.</w:t>
      </w:r>
    </w:p>
    <w:p w14:paraId="5F1BC226">
      <w:pPr>
        <w:tabs>
          <w:tab w:val="left" w:pos="567"/>
        </w:tabs>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 Após a homologação da licitação, deverão ser observadas as seguintes condições para formalização da ata de registro de preços:</w:t>
      </w:r>
    </w:p>
    <w:p w14:paraId="2F992EA5">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14:paraId="3C7E1C3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 Será incluído na ata, na forma de anexo, o registro dos licitantes ou dos fornecedores que:</w:t>
      </w:r>
    </w:p>
    <w:p w14:paraId="24D3DC54">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5.4.2.1. Aceitarem cotar os bens, as obras ou os serviços com preços iguais aos do adjudicatário, observada a classificação da licitação; e</w:t>
      </w:r>
    </w:p>
    <w:p w14:paraId="6B03ABA2">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5.4.2.2. Mantiverem sua proposta original.</w:t>
      </w:r>
    </w:p>
    <w:p w14:paraId="586059B8">
      <w:pPr>
        <w:spacing w:before="120" w:after="120" w:line="276" w:lineRule="auto"/>
        <w:ind w:left="709"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5.4.3. Será respeitada, nas contratações, a ordem de classificação dos licitantes ou dos fornecedores registrados na ata.</w:t>
      </w:r>
    </w:p>
    <w:p w14:paraId="472FF611">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5.5. O registro a que se refere o item 5.4.2 tem por objetivo a formação de cadastro de reserva para o caso de impossibilidade de atendimento pelo signatário da ata</w:t>
      </w:r>
    </w:p>
    <w:p w14:paraId="49CF0F0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14:paraId="100C850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5.7.  habilitação dos licitantes que comporão o cadastro de reserva a que se refere o item 5.4.2.2 somente será efetuada quando houver necessidade de contratação dos licitantes remanescentes, nas seguintes hipóteses:</w:t>
      </w:r>
    </w:p>
    <w:p w14:paraId="34C1F632">
      <w:pPr>
        <w:pStyle w:val="12"/>
        <w:spacing w:before="120" w:beforeAutospacing="0" w:after="120" w:afterAutospacing="0" w:line="276" w:lineRule="auto"/>
        <w:ind w:left="600" w:right="120"/>
        <w:jc w:val="both"/>
        <w:rPr>
          <w:color w:val="000000"/>
        </w:rPr>
      </w:pPr>
      <w:r>
        <w:rPr>
          <w:color w:val="000000"/>
        </w:rPr>
        <w:t>5.7.1. Quando o licitante vencedor não assinar a ata de registro de preços, no prazo e nas condições estabelecidos no edital; e</w:t>
      </w:r>
    </w:p>
    <w:p w14:paraId="3357209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5.7.2. Quando houver o cancelamento do registro do licitante ou do registro de preços nas hipóteses previstas no item 9.</w:t>
      </w:r>
    </w:p>
    <w:p w14:paraId="13A191B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5.8. O preço registrado com indicação dos licitantes e fornecedores será divulgado no PNCP e ficará disponibilizado durante a vigência da ata de registro de preços.</w:t>
      </w:r>
    </w:p>
    <w:p w14:paraId="536C2F96">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14:paraId="1A38338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08D9BA4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5.10. A ata de registro de preços será assinada por meio de assinatura digital e disponibilizada no Sistema de Registro de Preços.</w:t>
      </w:r>
    </w:p>
    <w:p w14:paraId="451AAE6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14:paraId="3980C84F">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 Na hipótese de nenhum dos licitantes que trata o item 5.4.2.1, aceitar a contratação nos termos do item anterior, a Administração, observados o valor estimado e sua eventual atualização nos termos do edital, poderá:</w:t>
      </w:r>
    </w:p>
    <w:p w14:paraId="3F9D2B18">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5E022D33">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14:paraId="0580EB0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D20AB82">
      <w:pPr>
        <w:spacing w:before="120" w:after="120" w:line="276" w:lineRule="auto"/>
        <w:ind w:left="120" w:right="120" w:firstLine="1418"/>
        <w:jc w:val="both"/>
        <w:rPr>
          <w:rFonts w:ascii="Times New Roman" w:hAnsi="Times New Roman" w:eastAsia="Times New Roman" w:cs="Times New Roman"/>
          <w:color w:val="000000"/>
          <w:sz w:val="24"/>
          <w:szCs w:val="24"/>
          <w:lang w:eastAsia="pt-BR"/>
        </w:rPr>
      </w:pPr>
    </w:p>
    <w:p w14:paraId="75950E7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6. ALTERAÇÃO OU ATUALIZAÇÃO DOS PREÇOS REGISTRADOS (DECRETO Nº 11.462/2023)</w:t>
      </w:r>
    </w:p>
    <w:p w14:paraId="4DF4B7C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 Os preços registrados poderão ser alterados ou atualizados em decorrência de eventual redução dos preços praticados no mercado ou de fato que eleve o custo dos bens, das obras ou dos serviços registrados, nas seguintes situações:</w:t>
      </w:r>
    </w:p>
    <w:p w14:paraId="33CF246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5C7CD77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6.1.2. Em caso de criação, alteração ou extinção de quaisquer tributos ou encargos legais ou a superveniência de disposições legais, com comprovada repercussão sobre os preços registrados;</w:t>
      </w:r>
    </w:p>
    <w:p w14:paraId="0694E5F2">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 Na hipótese de previsão no edital ou no aviso de contratação direta de cláusula de reajustamento ou repactuação sobre os preços registrados, nos termos da Lei nº 14.133, de 2021.</w:t>
      </w:r>
    </w:p>
    <w:p w14:paraId="13A81B14">
      <w:pPr>
        <w:spacing w:before="120" w:after="120" w:line="276" w:lineRule="auto"/>
        <w:ind w:left="18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6.1.3.1. No caso do reajustamento, deverá ser respeitada a contagem da anualidade e o índice previstos para a contratação; </w:t>
      </w:r>
    </w:p>
    <w:p w14:paraId="7A448303">
      <w:pPr>
        <w:spacing w:before="120" w:after="120" w:line="276" w:lineRule="auto"/>
        <w:ind w:left="18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6.1.3.2. No caso da repactuação, poderá ser a pedido do interessado, conforme critérios definidos para a contratação.</w:t>
      </w:r>
    </w:p>
    <w:p w14:paraId="56B28C39">
      <w:pPr>
        <w:spacing w:before="120" w:after="120" w:line="276" w:lineRule="auto"/>
        <w:ind w:left="1800" w:right="120"/>
        <w:jc w:val="both"/>
        <w:rPr>
          <w:rFonts w:ascii="Times New Roman" w:hAnsi="Times New Roman" w:eastAsia="Times New Roman" w:cs="Times New Roman"/>
          <w:color w:val="000000"/>
          <w:sz w:val="24"/>
          <w:szCs w:val="24"/>
          <w:lang w:eastAsia="pt-BR"/>
        </w:rPr>
      </w:pPr>
    </w:p>
    <w:p w14:paraId="7DE293FB">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7. NEGOCIAÇÃO DE PREÇOS REGISTRADOS</w:t>
      </w:r>
    </w:p>
    <w:p w14:paraId="4F393FB6">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 Na hipótese de o preço registrado tornar-se superior ao preço praticado no mercado por motivo superveniente, o órgão ou entidade gerenciadora convocará o fornecedor para negociar a redução do preço registrado.</w:t>
      </w:r>
    </w:p>
    <w:p w14:paraId="21AFA771">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7.1.1. Caso não aceite reduzir seu preço aos valores praticados pelo mercado, o fornecedor será liberado do compromisso assumido quanto ao item registrado, sem aplicação de penalidades administrativas, caso a comunicação ocorra antes do envio da nota de empenho.</w:t>
      </w:r>
    </w:p>
    <w:p w14:paraId="3A543BD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4BB8BED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7.1.3. 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14:paraId="62E0DD3D">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7.1.4.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4571D2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14:paraId="438727A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7.2.1. Neste caso, o fornecedor encaminhará, juntamente com o pedido de alteração, a documentação comprobatória ou a planilha de custos que demonstre a inviabilidade do preço registrado em relação às condições inicialmente pactuadas.</w:t>
      </w:r>
      <w:bookmarkStart w:id="2" w:name="prova_preco_mercado_maior"/>
      <w:bookmarkEnd w:id="2"/>
    </w:p>
    <w:p w14:paraId="1B10BCDD">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7.2.2. 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14:paraId="72DC15F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7.2.3. Na hipótese de cancelamento do registro do fornecedor, nos termos do item anterior, o gerenciador convocará os fornecedores do cadastro de reserva, na ordem de classificação, para verificar se aceitam manter seus preços registrados, observado o disposto no item 5.5.</w:t>
      </w:r>
    </w:p>
    <w:p w14:paraId="69574AC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7.2.4. 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14:paraId="5023327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7.2.5. Na hipótese de comprovação da majoração do preço de mercado que inviabilize o preço registrado, conforme previsto no item 7.2 e no item 7.2.1, o órgão ou entidade gerenciadora atualizará o preço registrado, de acordo com a realidade dos valores praticados pelo mercado, caso a comunicação ocorra antes do envio da nota de empenho.</w:t>
      </w:r>
    </w:p>
    <w:p w14:paraId="5D38B7AA">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7.2.6.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0EA18919">
      <w:pPr>
        <w:spacing w:before="120" w:after="120" w:line="276" w:lineRule="auto"/>
        <w:ind w:left="600" w:right="120"/>
        <w:jc w:val="both"/>
        <w:rPr>
          <w:rFonts w:ascii="Times New Roman" w:hAnsi="Times New Roman" w:eastAsia="Times New Roman" w:cs="Times New Roman"/>
          <w:color w:val="000000"/>
          <w:sz w:val="24"/>
          <w:szCs w:val="24"/>
          <w:lang w:eastAsia="pt-BR"/>
        </w:rPr>
      </w:pPr>
    </w:p>
    <w:p w14:paraId="4AB1E6B9">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8. REMANEJAMENTO DAS QUANTIDADES REGISTRADAS NA ATA DE REGISTRO DE PREÇOS </w:t>
      </w:r>
    </w:p>
    <w:p w14:paraId="4A9C7B9E">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8.1. As quantidades previstas para os itens com preços registrados nas atas de registro de preços poderão ser remanejadas pelo órgão ou entidade gerenciadora entre os órgãos ou as entidades participantes e não participantes do registro de preços.</w:t>
      </w:r>
    </w:p>
    <w:p w14:paraId="476C4E9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 O remanejamento somente poderá ser feito:</w:t>
      </w:r>
    </w:p>
    <w:p w14:paraId="7B37307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8.2.1. De órgão ou entidade participante para órgão ou entidade participante; ou</w:t>
      </w:r>
    </w:p>
    <w:p w14:paraId="3C9AA8F9">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8.2.2. De órgão ou entidade participante para órgão ou entidade não participante.</w:t>
      </w:r>
    </w:p>
    <w:p w14:paraId="3167DAD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8.3. O órgão ou entidade gerenciadora que tiver estimado as quantidades que pretende contratar será considerado participante para efeito do remanejamento.</w:t>
      </w:r>
      <w:bookmarkStart w:id="5" w:name="gerenciador_estimador_é_partic_em_remane"/>
      <w:bookmarkEnd w:id="5"/>
    </w:p>
    <w:p w14:paraId="6E1C52B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8.4. Na hipótese de remanejamento de órgão ou entidade participante para órgão ou entidade não participante, serão observados os limites previstos no art. 32 do Decreto nº 11.462, de 2023.</w:t>
      </w:r>
    </w:p>
    <w:p w14:paraId="0B7E6F37">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7E047548">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8.6.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674AF72">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8.7. 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74E3953C">
      <w:pPr>
        <w:spacing w:before="100" w:beforeAutospacing="1" w:after="100" w:afterAutospacing="1" w:line="276" w:lineRule="auto"/>
        <w:rPr>
          <w:rFonts w:ascii="Times New Roman" w:hAnsi="Times New Roman" w:eastAsia="Times New Roman" w:cs="Times New Roman"/>
          <w:color w:val="000000"/>
          <w:sz w:val="24"/>
          <w:szCs w:val="24"/>
          <w:lang w:eastAsia="pt-BR"/>
        </w:rPr>
      </w:pPr>
    </w:p>
    <w:p w14:paraId="498FFFF7">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9. CANCELAMENTO DO REGISTRO DO LICITANTE VENCEDOR E DOS PREÇOS REGISTRADOS</w:t>
      </w:r>
      <w:bookmarkStart w:id="6" w:name="cancelamento"/>
      <w:bookmarkEnd w:id="6"/>
    </w:p>
    <w:p w14:paraId="185161F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 O registro do fornecedor será cancelado pelo gerenciador, quando o fornecedor:</w:t>
      </w:r>
      <w:bookmarkStart w:id="7" w:name="cancelamento_do_fornecedor"/>
      <w:bookmarkEnd w:id="7"/>
    </w:p>
    <w:p w14:paraId="1F6B0D9E">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9.1.1. Descumprir as condições da ata de registro de preços, sem motivo justificado;</w:t>
      </w:r>
    </w:p>
    <w:p w14:paraId="6D9920D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9.1.2. Não retirar a nota de empenho, ou instrumento equivalente, no prazo estabelecido pela Administração sem justificativa razoável;</w:t>
      </w:r>
    </w:p>
    <w:p w14:paraId="1C90CC0F">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9.1.3. Não aceitar manter seu preço registrado, na hipótese prevista no artigo 27, § 2º, do Decreto nº 11.462, de 2023; ou</w:t>
      </w:r>
    </w:p>
    <w:p w14:paraId="17375EBB">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9.1.4. Sofrer sanção prevista nos incisos III ou IV do caput do art. 156 da Lei nº 14.133, de 2021.</w:t>
      </w:r>
    </w:p>
    <w:p w14:paraId="3D415412">
      <w:pPr>
        <w:spacing w:before="120" w:after="120" w:line="276" w:lineRule="auto"/>
        <w:ind w:left="12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9.1.4.1.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CECA6E3">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9.2. O cancelamento de registros nas hipóteses previstas no item 9.1 será formalizado por despacho do órgão ou da entidade gerenciadora, garantidos os princípios do contraditório e da ampla defesa.</w:t>
      </w:r>
    </w:p>
    <w:p w14:paraId="2D08A95A">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9.3. Na hipótese de cancelamento do registro do fornecedor, o órgão ou a entidade gerenciadora poderá convocar os licitantes que compõem o cadastro de reserva, observada a ordem de classificação.</w:t>
      </w:r>
    </w:p>
    <w:p w14:paraId="704FD98C">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 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14:paraId="0A41F7C1">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9.4.1. Por razão de interesse público;</w:t>
      </w:r>
    </w:p>
    <w:p w14:paraId="41F8195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9.4.2. A pedido do fornecedor, decorrente de caso fortuito ou força maior; ou</w:t>
      </w:r>
    </w:p>
    <w:p w14:paraId="79252A1C">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9.4.3. Se não houver êxito nas negociações, nas hipóteses em que o preço de mercado tornar-se superior ou inferior ao preço registrado, nos termos do artigos 26, § 3º e  27, § 4º, ambos do Decreto nº 11.462, de 2023.</w:t>
      </w:r>
    </w:p>
    <w:p w14:paraId="23242674">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0E813F7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10. DAS PENALIDADES</w:t>
      </w:r>
    </w:p>
    <w:p w14:paraId="74EEAE40">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10.1. O descumprimento da Ata de Registro de Preços ensejará aplicação das penalidades estabelecidas no edital.</w:t>
      </w:r>
    </w:p>
    <w:p w14:paraId="56B5ECC0">
      <w:pPr>
        <w:spacing w:before="120" w:after="120" w:line="276" w:lineRule="auto"/>
        <w:ind w:left="60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10.1.1. As sanções também se aplicam aos integrantes do cadastro de reserva no registro de preços que, convocados, não honrarem o compromisso assumido injustificadamente após terem assinado a ata.</w:t>
      </w:r>
    </w:p>
    <w:p w14:paraId="2D6AACF9">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2B129CF">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10.3. O órgão ou entidade participante deverá comunicar ao órgão gerenciador qualquer das ocorrências previstas no item 9.1, dada a necessidade de instauração de procedimento para cancelamento do registro do fornecedor.</w:t>
      </w:r>
    </w:p>
    <w:p w14:paraId="22984A9A">
      <w:pPr>
        <w:spacing w:before="120" w:after="120" w:line="276" w:lineRule="auto"/>
        <w:ind w:right="120"/>
        <w:jc w:val="both"/>
        <w:rPr>
          <w:rFonts w:ascii="Times New Roman" w:hAnsi="Times New Roman" w:eastAsia="Times New Roman" w:cs="Times New Roman"/>
          <w:color w:val="000000"/>
          <w:sz w:val="24"/>
          <w:szCs w:val="24"/>
          <w:lang w:eastAsia="pt-BR"/>
        </w:rPr>
      </w:pPr>
    </w:p>
    <w:p w14:paraId="72563FB8">
      <w:pPr>
        <w:shd w:val="clear" w:color="auto" w:fill="E6E6E6"/>
        <w:spacing w:before="120" w:after="120" w:line="276" w:lineRule="auto"/>
        <w:ind w:right="120"/>
        <w:jc w:val="both"/>
        <w:rPr>
          <w:rFonts w:ascii="Times New Roman" w:hAnsi="Times New Roman" w:eastAsia="Times New Roman" w:cs="Times New Roman"/>
          <w:b/>
          <w:bCs/>
          <w:caps/>
          <w:color w:val="000000"/>
          <w:sz w:val="24"/>
          <w:szCs w:val="24"/>
          <w:lang w:eastAsia="pt-BR"/>
        </w:rPr>
      </w:pPr>
      <w:r>
        <w:rPr>
          <w:rFonts w:ascii="Times New Roman" w:hAnsi="Times New Roman" w:eastAsia="Times New Roman" w:cs="Times New Roman"/>
          <w:b/>
          <w:bCs/>
          <w:caps/>
          <w:color w:val="000000"/>
          <w:sz w:val="24"/>
          <w:szCs w:val="24"/>
          <w:lang w:eastAsia="pt-BR"/>
        </w:rPr>
        <w:t>11. CONDIÇÕES GERAIS</w:t>
      </w:r>
    </w:p>
    <w:p w14:paraId="4D5794B5">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1583EB0">
      <w:pPr>
        <w:spacing w:before="120" w:after="120" w:line="276" w:lineRule="auto"/>
        <w:ind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11.2. No caso de adjudicação por preço global de grupo de itens, só será admitida a contratação dos itens para contratação da totalidade dos itens de grupo, respeitadas as proporções de quantitativos definidos no certame.</w:t>
      </w:r>
    </w:p>
    <w:p w14:paraId="6A05EF6B">
      <w:pPr>
        <w:spacing w:before="120" w:after="120" w:line="276" w:lineRule="auto"/>
        <w:ind w:left="120" w:right="120"/>
        <w:jc w:val="both"/>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w:t>
      </w:r>
    </w:p>
    <w:p w14:paraId="10044733">
      <w:pPr>
        <w:spacing w:after="0" w:line="276" w:lineRule="auto"/>
        <w:rPr>
          <w:rFonts w:ascii="Times New Roman" w:hAnsi="Times New Roman" w:eastAsia="Times New Roman" w:cs="Times New Roman"/>
          <w:sz w:val="24"/>
          <w:szCs w:val="24"/>
          <w:lang w:eastAsia="pt-BR"/>
        </w:rPr>
      </w:pPr>
      <w:r>
        <w:rPr>
          <w:rFonts w:ascii="Times New Roman" w:hAnsi="Times New Roman" w:eastAsia="Times New Roman" w:cs="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14:paraId="66140BE9">
      <w:pPr>
        <w:spacing w:before="120" w:after="120" w:line="276" w:lineRule="auto"/>
        <w:ind w:left="120" w:right="120"/>
        <w:jc w:val="center"/>
        <w:rPr>
          <w:rFonts w:ascii="Times New Roman" w:hAnsi="Times New Roman" w:eastAsia="Times New Roman" w:cs="Times New Roman"/>
          <w:color w:val="000000"/>
          <w:sz w:val="24"/>
          <w:szCs w:val="24"/>
          <w:lang w:eastAsia="pt-BR"/>
        </w:rPr>
      </w:pPr>
    </w:p>
    <w:p w14:paraId="34AB532B">
      <w:pPr>
        <w:spacing w:before="120" w:after="120" w:line="276" w:lineRule="auto"/>
        <w:ind w:left="120" w:right="120"/>
        <w:jc w:val="center"/>
        <w:rPr>
          <w:rFonts w:ascii="Times New Roman" w:hAnsi="Times New Roman" w:eastAsia="Times New Roman" w:cs="Times New Roman"/>
          <w:color w:val="000000"/>
          <w:sz w:val="24"/>
          <w:szCs w:val="24"/>
          <w:lang w:eastAsia="pt-BR"/>
        </w:rPr>
      </w:pPr>
    </w:p>
    <w:p w14:paraId="701024B5">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_______,__________________.</w:t>
      </w:r>
    </w:p>
    <w:p w14:paraId="40587073">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(Local e data)</w:t>
      </w:r>
    </w:p>
    <w:p w14:paraId="66EF1FE9">
      <w:pPr>
        <w:spacing w:before="120" w:after="120" w:line="276" w:lineRule="auto"/>
        <w:ind w:left="120" w:right="120"/>
        <w:jc w:val="center"/>
        <w:rPr>
          <w:rFonts w:ascii="Times New Roman" w:hAnsi="Times New Roman" w:eastAsia="Times New Roman" w:cs="Times New Roman"/>
          <w:b/>
          <w:bCs/>
          <w:color w:val="000000"/>
          <w:sz w:val="24"/>
          <w:szCs w:val="24"/>
          <w:lang w:eastAsia="pt-BR"/>
        </w:rPr>
      </w:pPr>
      <w:r>
        <w:rPr>
          <w:rFonts w:ascii="Times New Roman" w:hAnsi="Times New Roman" w:eastAsia="Times New Roman" w:cs="Times New Roman"/>
          <w:b/>
          <w:bCs/>
          <w:color w:val="000000"/>
          <w:sz w:val="24"/>
          <w:szCs w:val="24"/>
          <w:lang w:eastAsia="pt-BR"/>
        </w:rPr>
        <w:t>Assinaturas</w:t>
      </w:r>
    </w:p>
    <w:p w14:paraId="51346F54">
      <w:pPr>
        <w:spacing w:before="120" w:after="120" w:line="276" w:lineRule="auto"/>
        <w:ind w:left="120" w:right="120"/>
        <w:jc w:val="center"/>
        <w:rPr>
          <w:rFonts w:ascii="Times New Roman" w:hAnsi="Times New Roman" w:eastAsia="Times New Roman" w:cs="Times New Roman"/>
          <w:color w:val="000000"/>
          <w:sz w:val="24"/>
          <w:szCs w:val="24"/>
          <w:lang w:eastAsia="pt-BR"/>
        </w:rPr>
      </w:pPr>
    </w:p>
    <w:p w14:paraId="65A90668">
      <w:pPr>
        <w:spacing w:before="120" w:after="120" w:line="276" w:lineRule="auto"/>
        <w:ind w:left="120" w:right="120"/>
        <w:jc w:val="center"/>
        <w:rPr>
          <w:rFonts w:ascii="Times New Roman" w:hAnsi="Times New Roman" w:eastAsia="Times New Roman" w:cs="Times New Roman"/>
          <w:color w:val="000000"/>
          <w:sz w:val="24"/>
          <w:szCs w:val="24"/>
          <w:lang w:eastAsia="pt-BR"/>
        </w:rPr>
      </w:pPr>
      <w:r>
        <w:rPr>
          <w:rFonts w:ascii="Times New Roman" w:hAnsi="Times New Roman" w:eastAsia="Times New Roman" w:cs="Times New Roman"/>
          <w:color w:val="000000"/>
          <w:sz w:val="24"/>
          <w:szCs w:val="24"/>
          <w:lang w:eastAsia="pt-BR"/>
        </w:rPr>
        <w:t> Representante legal do órgão gerenciador e representante(s) legal(is) do(s) fornecedor(s) registrado(s)</w:t>
      </w:r>
    </w:p>
    <w:sectPr>
      <w:pgSz w:w="11906" w:h="16838"/>
      <w:pgMar w:top="1417" w:right="1558"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IDFon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72BBD"/>
    <w:multiLevelType w:val="multilevel"/>
    <w:tmpl w:val="72172BBD"/>
    <w:lvl w:ilvl="0" w:tentative="0">
      <w:start w:val="1"/>
      <w:numFmt w:val="decimal"/>
      <w:lvlText w:val="%1."/>
      <w:lvlJc w:val="left"/>
      <w:pPr>
        <w:ind w:left="0" w:firstLine="0"/>
      </w:pPr>
      <w:rPr>
        <w:rFonts w:hint="default"/>
      </w:rPr>
    </w:lvl>
    <w:lvl w:ilvl="1" w:tentative="0">
      <w:start w:val="1"/>
      <w:numFmt w:val="lowerLetter"/>
      <w:lvlText w:val="%2."/>
      <w:lvlJc w:val="left"/>
      <w:pPr>
        <w:ind w:left="1560" w:hanging="360"/>
      </w:pPr>
    </w:lvl>
    <w:lvl w:ilvl="2" w:tentative="0">
      <w:start w:val="1"/>
      <w:numFmt w:val="lowerRoman"/>
      <w:lvlText w:val="%3."/>
      <w:lvlJc w:val="right"/>
      <w:pPr>
        <w:ind w:left="2280" w:hanging="180"/>
      </w:pPr>
    </w:lvl>
    <w:lvl w:ilvl="3" w:tentative="0">
      <w:start w:val="1"/>
      <w:numFmt w:val="decimal"/>
      <w:lvlText w:val="%4."/>
      <w:lvlJc w:val="left"/>
      <w:pPr>
        <w:ind w:left="3000" w:hanging="360"/>
      </w:pPr>
    </w:lvl>
    <w:lvl w:ilvl="4" w:tentative="0">
      <w:start w:val="1"/>
      <w:numFmt w:val="lowerLetter"/>
      <w:lvlText w:val="%5."/>
      <w:lvlJc w:val="left"/>
      <w:pPr>
        <w:ind w:left="3720" w:hanging="360"/>
      </w:pPr>
    </w:lvl>
    <w:lvl w:ilvl="5" w:tentative="0">
      <w:start w:val="1"/>
      <w:numFmt w:val="lowerRoman"/>
      <w:lvlText w:val="%6."/>
      <w:lvlJc w:val="right"/>
      <w:pPr>
        <w:ind w:left="4440" w:hanging="180"/>
      </w:pPr>
    </w:lvl>
    <w:lvl w:ilvl="6" w:tentative="0">
      <w:start w:val="1"/>
      <w:numFmt w:val="decimal"/>
      <w:lvlText w:val="%7."/>
      <w:lvlJc w:val="left"/>
      <w:pPr>
        <w:ind w:left="5160" w:hanging="360"/>
      </w:pPr>
    </w:lvl>
    <w:lvl w:ilvl="7" w:tentative="0">
      <w:start w:val="1"/>
      <w:numFmt w:val="lowerLetter"/>
      <w:lvlText w:val="%8."/>
      <w:lvlJc w:val="left"/>
      <w:pPr>
        <w:ind w:left="5880" w:hanging="360"/>
      </w:pPr>
    </w:lvl>
    <w:lvl w:ilvl="8" w:tentative="0">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035476"/>
    <w:rsid w:val="000E782F"/>
    <w:rsid w:val="001B4E4C"/>
    <w:rsid w:val="001F5B4D"/>
    <w:rsid w:val="00351B27"/>
    <w:rsid w:val="009E4ABF"/>
    <w:rsid w:val="00A217C1"/>
    <w:rsid w:val="00A47FE0"/>
    <w:rsid w:val="00A93526"/>
    <w:rsid w:val="00B77F5E"/>
    <w:rsid w:val="00BE0267"/>
    <w:rsid w:val="00C153C2"/>
    <w:rsid w:val="00CB6895"/>
    <w:rsid w:val="00DF7662"/>
    <w:rsid w:val="00E53CDC"/>
    <w:rsid w:val="00EF7B8A"/>
    <w:rsid w:val="00F24D46"/>
    <w:rsid w:val="00F42C0F"/>
    <w:rsid w:val="22022FA8"/>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Strong"/>
    <w:basedOn w:val="2"/>
    <w:qFormat/>
    <w:uiPriority w:val="22"/>
    <w:rPr>
      <w:b/>
      <w:bCs/>
    </w:rPr>
  </w:style>
  <w:style w:type="character" w:styleId="5">
    <w:name w:val="Emphasis"/>
    <w:basedOn w:val="2"/>
    <w:qFormat/>
    <w:uiPriority w:val="20"/>
    <w:rPr>
      <w:i/>
      <w:iCs/>
    </w:rPr>
  </w:style>
  <w:style w:type="paragraph" w:styleId="6">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7">
    <w:name w:val="texto_centralizado_maiusculas_negrito_sem_espacame"/>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8">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
    <w:name w:val="item_nive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
    <w:name w:val="item_nivel3"/>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3">
    <w:name w:val="item_nivel5"/>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4">
    <w:name w:val="item_nivel4"/>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5">
    <w:name w:val="texto_centraliz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16">
    <w:name w:val="List Paragraph"/>
    <w:basedOn w:val="1"/>
    <w:qFormat/>
    <w:uiPriority w:val="34"/>
    <w:pPr>
      <w:ind w:left="720"/>
      <w:contextualSpacing/>
    </w:pPr>
  </w:style>
  <w:style w:type="paragraph" w:customStyle="1" w:styleId="17">
    <w:name w:val="Default"/>
    <w:uiPriority w:val="0"/>
    <w:pPr>
      <w:autoSpaceDE w:val="0"/>
      <w:autoSpaceDN w:val="0"/>
      <w:adjustRightInd w:val="0"/>
      <w:spacing w:after="0" w:line="240" w:lineRule="auto"/>
    </w:pPr>
    <w:rPr>
      <w:rFonts w:ascii="Tahoma" w:hAnsi="Tahoma" w:cs="Tahoma" w:eastAsiaTheme="minorHAnsi"/>
      <w:color w:val="000000"/>
      <w:sz w:val="24"/>
      <w:szCs w:val="24"/>
      <w:lang w:val="pt-BR"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3194</Words>
  <Characters>17249</Characters>
  <Lines>143</Lines>
  <Paragraphs>40</Paragraphs>
  <TotalTime>93</TotalTime>
  <ScaleCrop>false</ScaleCrop>
  <LinksUpToDate>false</LinksUpToDate>
  <CharactersWithSpaces>20403</CharactersWithSpaces>
  <Application>WPS Office_12.2.0.21179_F1E327BC-269C-435d-A152-05C5408002CA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2023-07-05T20:49:00Z</dcterms:created>
  <dc:creator>Ana Cpl</dc:creator>
  <cp:lastModifiedBy>CPL UFPel</cp:lastModifiedBy>
  <dcterms:modified xsi:type="dcterms:W3CDTF">2025-05-22T16:29:12Z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1046-12.2.0.21179</vt:lpwstr>
  </property>
  <property fmtid="{D5CDD505-2E9C-101B-9397-08002B2CF9AE}" pid="3" name="ICV">
    <vt:lpwstr>F342B29EEA5A412C87C4DD3A263F6A46_12</vt:lpwstr>
  </property>
</Properties>
</file>